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247"/>
        <w:gridCol w:w="100"/>
        <w:gridCol w:w="8172"/>
        <w:gridCol w:w="5050"/>
      </w:tblGrid>
      <w:tr w:rsidR="0081106B" w:rsidTr="0057784D">
        <w:trPr>
          <w:trHeight w:val="1418"/>
        </w:trPr>
        <w:tc>
          <w:tcPr>
            <w:tcW w:w="47" w:type="dxa"/>
          </w:tcPr>
          <w:p w:rsidR="00ED7638" w:rsidRDefault="00ED7638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9"/>
            </w:tblGrid>
            <w:tr w:rsidR="00ED7638" w:rsidTr="0057784D">
              <w:trPr>
                <w:trHeight w:val="812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ČIJE PRIJAVE NE ISPUNJAVAJU</w:t>
                  </w:r>
                  <w:r w:rsidR="0057784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PROPISANE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UVJETE </w:t>
                  </w:r>
                  <w:r w:rsidR="0057784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JAVNOG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NATJEČAJA</w:t>
                  </w:r>
                  <w:r w:rsidR="0057784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ZA FINACIRANJE PROGRAMA I PROJEKATA IZ PODRUČJA ZAŠTITE ZDRAVLJA IZ PRORAČUNA GRADA ZAGREBA ZA 2021.</w:t>
                  </w:r>
                </w:p>
              </w:tc>
            </w:tr>
          </w:tbl>
          <w:p w:rsidR="0057784D" w:rsidRDefault="0057784D">
            <w:pPr>
              <w:spacing w:after="0" w:line="240" w:lineRule="auto"/>
            </w:pPr>
          </w:p>
          <w:p w:rsidR="00ED7638" w:rsidRPr="005D1875" w:rsidRDefault="005D1875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5D1875">
              <w:rPr>
                <w:rFonts w:ascii="Arial" w:hAnsi="Arial" w:cs="Arial"/>
                <w:b/>
                <w:sz w:val="22"/>
                <w:szCs w:val="22"/>
              </w:rPr>
              <w:t xml:space="preserve">vaj popis je objavljen </w:t>
            </w:r>
            <w:r>
              <w:rPr>
                <w:rFonts w:ascii="Arial" w:hAnsi="Arial" w:cs="Arial"/>
                <w:b/>
                <w:sz w:val="22"/>
                <w:szCs w:val="22"/>
              </w:rPr>
              <w:t>na internetskoj stranici Grada Z</w:t>
            </w:r>
            <w:r w:rsidRPr="005D1875">
              <w:rPr>
                <w:rFonts w:ascii="Arial" w:hAnsi="Arial" w:cs="Arial"/>
                <w:b/>
                <w:sz w:val="22"/>
                <w:szCs w:val="22"/>
              </w:rPr>
              <w:t>agreba dana 19. svibnja 2021.</w:t>
            </w:r>
          </w:p>
          <w:p w:rsidR="005D1875" w:rsidRPr="005D1875" w:rsidRDefault="005D1875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7784D" w:rsidRPr="005D1875" w:rsidRDefault="005D1875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5D1875">
              <w:rPr>
                <w:rFonts w:ascii="Arial" w:hAnsi="Arial" w:cs="Arial"/>
                <w:b/>
                <w:sz w:val="22"/>
                <w:szCs w:val="22"/>
              </w:rPr>
              <w:t>ok za podnošenje prigovora na popis je osam dana od objave zaključno s 27. svibnja 2021.</w:t>
            </w:r>
          </w:p>
          <w:p w:rsidR="0057784D" w:rsidRPr="005D1875" w:rsidRDefault="0057784D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7784D" w:rsidRDefault="005D1875" w:rsidP="0057784D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5D1875">
              <w:rPr>
                <w:rFonts w:ascii="Arial" w:hAnsi="Arial" w:cs="Arial"/>
                <w:b/>
                <w:sz w:val="22"/>
                <w:szCs w:val="22"/>
              </w:rPr>
              <w:t>rigovor se podnosi gradonačelni</w:t>
            </w:r>
            <w:r>
              <w:rPr>
                <w:rFonts w:ascii="Arial" w:hAnsi="Arial" w:cs="Arial"/>
                <w:b/>
                <w:sz w:val="22"/>
                <w:szCs w:val="22"/>
              </w:rPr>
              <w:t>ku Grada Z</w:t>
            </w:r>
            <w:r w:rsidRPr="005D1875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greba, u pisanom obliku, putem Gradskog ureda za zdravstvo,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Heinzelova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62a, 10000 Z</w:t>
            </w:r>
            <w:r w:rsidRPr="005D1875">
              <w:rPr>
                <w:rFonts w:ascii="Arial" w:hAnsi="Arial" w:cs="Arial"/>
                <w:b/>
                <w:sz w:val="22"/>
                <w:szCs w:val="22"/>
              </w:rPr>
              <w:t>agreb</w:t>
            </w:r>
          </w:p>
        </w:tc>
      </w:tr>
      <w:tr w:rsidR="00ED7638">
        <w:trPr>
          <w:trHeight w:val="20"/>
        </w:trPr>
        <w:tc>
          <w:tcPr>
            <w:tcW w:w="47" w:type="dxa"/>
          </w:tcPr>
          <w:p w:rsidR="00ED7638" w:rsidRPr="0057784D" w:rsidRDefault="00ED7638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D7638" w:rsidRDefault="00ED76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D7638" w:rsidRDefault="00ED7638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ED7638" w:rsidRPr="0057784D" w:rsidRDefault="0057784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t>hghhhh</w:t>
            </w:r>
            <w:proofErr w:type="spellEnd"/>
          </w:p>
        </w:tc>
        <w:tc>
          <w:tcPr>
            <w:tcW w:w="5050" w:type="dxa"/>
          </w:tcPr>
          <w:p w:rsidR="00ED7638" w:rsidRDefault="00ED7638">
            <w:pPr>
              <w:pStyle w:val="EmptyCellLayoutStyle"/>
              <w:spacing w:after="0" w:line="240" w:lineRule="auto"/>
            </w:pPr>
          </w:p>
        </w:tc>
      </w:tr>
      <w:tr w:rsidR="00ED7638">
        <w:trPr>
          <w:trHeight w:val="440"/>
        </w:trPr>
        <w:tc>
          <w:tcPr>
            <w:tcW w:w="47" w:type="dxa"/>
          </w:tcPr>
          <w:p w:rsidR="00ED7638" w:rsidRDefault="00ED763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D7638" w:rsidRDefault="00ED76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D7638" w:rsidRDefault="00ED7638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ED7638" w:rsidRDefault="00ED7638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ED7638" w:rsidRDefault="00ED7638">
            <w:pPr>
              <w:pStyle w:val="EmptyCellLayoutStyle"/>
              <w:spacing w:after="0" w:line="240" w:lineRule="auto"/>
            </w:pPr>
          </w:p>
        </w:tc>
      </w:tr>
      <w:tr w:rsidR="0081106B" w:rsidTr="0057784D">
        <w:tc>
          <w:tcPr>
            <w:tcW w:w="47" w:type="dxa"/>
          </w:tcPr>
          <w:p w:rsidR="00ED7638" w:rsidRDefault="00ED7638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6445"/>
              <w:gridCol w:w="5883"/>
            </w:tblGrid>
            <w:tr w:rsidR="00ED7638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81106B" w:rsidTr="0081106B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zdravlja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Mindfulness Inicijativa Hrvatska - MIH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Mentalno i emocionalno zdravlje u hrvatskim osnovnim školama - mentalni trening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mindfulness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B7E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</w:t>
                  </w:r>
                  <w:r w:rsidR="00E0761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</w:t>
                  </w:r>
                  <w:proofErr w:type="spellStart"/>
                  <w:r w:rsidR="00E0761C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E0761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-  </w:t>
                  </w:r>
                  <w:r w:rsidR="00E0761C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prijava na Natječaj ne sadrži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propisan,</w:t>
                  </w:r>
                  <w:r w:rsidR="00E0761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popunjeni i vlastoručno potpisani Obrazac A4- životopis voditelja 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potpore IDEM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Naučimo učiti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- prijava na natječaj ne sadrži potvrdu trgovačkog društva Gradsko stambeno-komunalno gospodarstvo d.o.o. o nepostojanju duga s osnove komunalne naknade, zakupa i najma ne stariju od 30 dana od dana objave Natječaja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ar za razvoj osobnih potencijala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Mentis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stress-relax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- prijava ne sadrži  dokaz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solventosti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podnositelja prijave, BON2 nije ovjeren potpisom i pečatom banke 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CESI – Centar za edukaciju, savjetovanje i istraživanje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DOBAR SAVJET, ZDRAVLJA VRIJEDI–PROMICANJE REPRODUKTIVNOG ZDRAVLJA MLADIH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 w:rsidP="00EB7E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8. stavak 1. alineja 5. prijava je podnesena suprotno točki 6. Natječaja odnosno prijavu nije podnijela ovlaštena osoba za zastupanje niti je </w:t>
                  </w:r>
                  <w:r w:rsidR="00EB7EAF">
                    <w:rPr>
                      <w:rFonts w:ascii="Arial" w:eastAsia="Arial" w:hAnsi="Arial"/>
                      <w:color w:val="000000"/>
                      <w:sz w:val="18"/>
                    </w:rPr>
                    <w:t>priložene punomoć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FORUM ORTOPEDA I TRAUMATOLOGA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ŽIVOT S UMJETNIM ZGLOBOM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- prijava na Natječaj ne sadrži potvrdu trgovačkog društva Gradsko stambeno-komunalno gospodarstvo d.o.o. o nepostojanju duga s osnove komunalne naknade, zakupa i najma ne stariju od 30 dana od dana objave Natječaja, te prop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isan, popunjen i potpisan obrazac A2 – izjava o nepostojanju dvostrukog financiranja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FORUM ORTOPEDA I TRAUMATOLOGA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MUSKELS BIG DATA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- prijava na Natječaj ne sadrži potvrdu trgovačkog društva Gradsko stambeno-kom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unalno gospodarstvo d.o.o. o nepostojanju duga s osnove komunalne naknade, zakupa i najma ne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stariju od 30 dana od dana objave Natječaja, te propisan, popunjen i potpisan obrazac A2 – izjava o nepostojanju dvostrukog financiranja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bol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esti štitnjače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Korak po korak zajedno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12., - troškovnik u A1 nije ispunjen sukladno uputama Natječaja, navedeni indirektni troškovi 100%,  te na SOL-2 nema pečata banke 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epilepsiju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Edukacijsko-rekreativni kamp za djecu i adolescente s epilepsijom 2021.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- prijava na natječaj ne sadrži propisani, ispunjen i potpisani Obrazac A4- životopis voditelja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liječnički zbor - Hrvatsko društvo za klini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čku prehranu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PETICA-IGROM DO ZDRAVLJA (HLZ-HD ZA KLINIČKU PREHRANU)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8. stavak 1. alineja 5. prijava je podnesena suprotno točki 6. Natječaja odnosno prijavu nije podnijela ovlaštena osoba za zastupanje niti je priložena punomoć te,  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u A1 nije razvidan podatak o broju zaposlenih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dijabetičkih udruga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Halo-halo info telefon HSDU-a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A1</w:t>
                  </w:r>
                  <w:r w:rsidR="00DC4C1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nije ispunjen sukladno uputama Natječaja odnosno navedeni indirektni troškovi veći od 25 %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medicinskih sestara-tehničara i primalja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ZA ŽENE S GINEKOLOŠKIM MALIGNITETIMA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8. stavak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alineja 5. prijava je podnesena suprotno točki 6. Natječaja odnosno prijavu nije podnijela ovlaštena osoba za zastupanje niti je nije priložena punomoć, te Točka 4.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popunjeni Obrazac A1 vezano uz točku 16. 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društvo za autogeni trening, hipnozu i terapiju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Briga o sebi=briga za bližnje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</w:t>
                  </w:r>
                  <w:r w:rsidR="005D1875">
                    <w:rPr>
                      <w:rFonts w:ascii="Arial" w:eastAsia="Arial" w:hAnsi="Arial"/>
                      <w:color w:val="000000"/>
                      <w:sz w:val="18"/>
                    </w:rPr>
                    <w:t>čka</w:t>
                  </w:r>
                  <w:proofErr w:type="spellEnd"/>
                  <w:r w:rsidR="005D187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- prijava na 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atječaj ne sadrži potvrdu trgovačkog društva Gradsko stambeno-komunalno gospodarstvo d.o.o. o nepostojanju duga s osnove komunalne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naknade, zakupa i najma ne stariju od 30 dana od dana objave Natječaja 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mjeriteljsko društvo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Dvodnevna konferencija "Svjetski dan mjeriteljstva - Mjerenje za zdravlje"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- prijava na Natječaj ne sadrži popunjeni i vlastoručno potpisani Obrazac A4- životopis voditelja, prijava na Natječaj ne sadrži potvrdu trgovačkog društva Gradsko stambeno-komunalno gospodarstvo d.o.o. o nepostojanju duga s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osnove komunalne naknade, zakupa i najma ne stariju od 30 dana od dana objave natječaja 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Humanitarna udruga "fra Mladen Hrkać"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KREATIVNA PODRŠKA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- prijava ne sadrži popis zaposlenika.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Ideja-Djelovanje-Akcija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 br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ini se – brini o sebi!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- prijava na Natječaj ne sadrži popunjeni i potpisani Obrazac A4 - životopis voditelja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Matica umirovljenika Grada Zagreba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zdravi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i 11.  Natječaja - iz dostavljenog Obrasca A2- Izjave o nepostojanju dvostrukog financiranja u 2021. nije moguće utvrditi da za program nisu u cijelosti već odobrena sredstva iz drugih izvora u tekućoj godini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Mreža mladih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Što te brine?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Natječaj ne sadrži popunjeni i potpisani obrazac A2 - Izjavu o nepostojanju dvostrukog financiranja, niti priložen popis zaposlenih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Savez društava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multiple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skleroze Hrvatske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unaprjeđenje zdravlja oboljelih od MS-a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- prijava ne sadrži  dokaz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solventosti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podnositelja prijave, BON2 nije ovjeren potpisom i pečatom banke 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Sirius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Centar za psihološko savjetovanje, edukaciju i istraživanje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Zdravo odrastanje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Točkua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- prijava na Natječaj ne sadrži uvjerenje da se protiv odgovorne osobe podnositelja prijave programa ili projekta ne vodi kazneni postup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ak, ne starije od 6 mjeseci od dana objave Javnog natječaja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 rekreativno društvo Maher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 prijatelj zdravlju i vježbaj na otvorenom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- prijava ne sadrži  Obrazac A3 za jednog partnera navedenoga u Obrascu A1,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niti potvrdu trgovačkog društva Gradsko stambeno-komunalno gospodarstvo d.o.o. o nepostojanju duga s osnove komunalne naknade, zakupa i najma ne stariju od 30 dana od dana objave natječaja 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FOLLOW ME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ZDRAVE NAVIKE, ZDRAV ŽIVOT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- prijava na Natječaj ne sadrži potpisani obrazac A2 - Izjavu o nepostojanju dvostrukog financiranja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gluhoslijepih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osoba Grada Zagreba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“Moji osjećaji i ja”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prijava na Natječaj 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 sadrži uvjerenje da se protiv voditelja programa ili projekta ne vodi kazneni postupak, ne starije od 6 mjeseci od dana objave Javnog natječaja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PET PLUS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ZAPALI NA MORE, NE CIGARETU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- prijava na natječaj ne sadr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ži potvrdu trgovačkog društva Gradsko stambeno-komunalno gospodarstvo d.o.o. o nepostojanju duga s osnove komunalne naknade, zakupa i najma ne stariju od 30 dana od dana objave Natječaja 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prevenciju i pomoć osobama izloženim stresnim situacijama “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StresProtekt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”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Zdravlje za Zagreb (Health4Zagreb)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- prijava na natječaj ne sadrži potvrdu trgovačkog društva Gradsko stambeno-komunalno gospodarstvo d.o.o.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 nepostojanju duga s osnove komunalne naknade, zakupa i najma ne stariju od 30 dana od dana objave Natječaja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 kreativnosti GEA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 JA SAM IN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4.podtočka 12. Natječaja -  prijava na Natječaj ne sadrži propisan, popunjen i potp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isan Obrazac A4 - životopis voditelja. te u Obrascu A1 nije jasno navedeno razdoblje provedbe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zdravlja liječnika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Preporuke za očuvanje zdravlja prije i nakon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preboljelog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COVIDA-19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Natječaja -  podnositelj prij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ave ne poštuje načelo transparentnosti u području financijskog izvještavanja  odnosno nemaju javno objavljen financijski izvještaj ili drugi financijski dokument koja prethodi objavi Javnog natječaja putem Registra neprofitnih organizacija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Zagrebački sveučilišni športski savez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HEALTHY CAMPUS ZAGREB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 Natječaja - prijava ne sadrži  popis zaposlenika sukladno uputama u Obrascu A1, te ne sadrži uvjerenje da se protiv odgovorne osobe podnositelja prijave programa ili projekt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 ne vodi kazneni postupak, ne starije od 6 mjeseci od dana objave Javnog natječaja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idemo dalje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Ako je teško, nije nemoguće....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Natječaja – udruga je dostavila potvrdu na kojoj je naveden dug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idemo dalje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....MI VAMA I VI NAMA....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Natječaja – udruga je dostavila potvrdu na kojoj je naveden dug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Ana Rukavina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Opremanje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sterline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jedinice Dječje onkologije-hematologije KBC-a Zagreb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3.2 Natječaja – prijava se ne odnosi na Natječaj sukladno točci 3.2. Natječaja, te 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troškovnik nije popunjen sukladno uputama Natječaja, nema opisa troškova</w:t>
                  </w:r>
                </w:p>
              </w:tc>
            </w:tr>
            <w:tr w:rsidR="00ED763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Žuto UŽE – Udruga Žena Endometrioza (skraćeni naziv Žut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 UŽE)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"Edukacija žena o reproduktivnom zdravlju"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7638" w:rsidRDefault="00E07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8. stavak 1. alineja 5. prijava je podnesena suprotno točki 6. Natječaja odnosno prijavu nije podnijela ovlaštena osoba za zastupanje niti je priložena punomoć, te točka 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12. Natječaja 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prijava ne sadrži Obrazac A2  potpisan od odgovorne osobe za zastupanje udruge  </w:t>
                  </w:r>
                </w:p>
              </w:tc>
            </w:tr>
          </w:tbl>
          <w:p w:rsidR="00ED7638" w:rsidRDefault="00ED7638">
            <w:pPr>
              <w:spacing w:after="0" w:line="240" w:lineRule="auto"/>
            </w:pPr>
          </w:p>
        </w:tc>
      </w:tr>
    </w:tbl>
    <w:p w:rsidR="00ED7638" w:rsidRDefault="00ED7638">
      <w:pPr>
        <w:spacing w:after="0" w:line="240" w:lineRule="auto"/>
      </w:pPr>
    </w:p>
    <w:sectPr w:rsidR="00ED7638">
      <w:footerReference w:type="default" r:id="rId7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61C" w:rsidRDefault="00E0761C">
      <w:pPr>
        <w:spacing w:after="0" w:line="240" w:lineRule="auto"/>
      </w:pPr>
      <w:r>
        <w:separator/>
      </w:r>
    </w:p>
  </w:endnote>
  <w:endnote w:type="continuationSeparator" w:id="0">
    <w:p w:rsidR="00E0761C" w:rsidRDefault="00E0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ED7638">
      <w:tc>
        <w:tcPr>
          <w:tcW w:w="6089" w:type="dxa"/>
        </w:tcPr>
        <w:p w:rsidR="00ED7638" w:rsidRDefault="00ED7638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D7638" w:rsidRDefault="00ED7638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D7638" w:rsidRDefault="00ED7638">
          <w:pPr>
            <w:pStyle w:val="EmptyCellLayoutStyle"/>
            <w:spacing w:after="0" w:line="240" w:lineRule="auto"/>
          </w:pPr>
        </w:p>
      </w:tc>
    </w:tr>
    <w:tr w:rsidR="00ED7638">
      <w:tc>
        <w:tcPr>
          <w:tcW w:w="6089" w:type="dxa"/>
        </w:tcPr>
        <w:p w:rsidR="00ED7638" w:rsidRDefault="00ED7638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D7638" w:rsidRDefault="00ED7638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ED7638" w:rsidRDefault="00ED7638">
          <w:pPr>
            <w:spacing w:after="0" w:line="240" w:lineRule="auto"/>
          </w:pPr>
        </w:p>
      </w:tc>
    </w:tr>
    <w:tr w:rsidR="00ED7638">
      <w:tc>
        <w:tcPr>
          <w:tcW w:w="6089" w:type="dxa"/>
          <w:vMerge w:val="restart"/>
        </w:tcPr>
        <w:p w:rsidR="00ED7638" w:rsidRDefault="00ED7638">
          <w:pPr>
            <w:spacing w:after="0" w:line="240" w:lineRule="auto"/>
          </w:pPr>
        </w:p>
      </w:tc>
      <w:tc>
        <w:tcPr>
          <w:tcW w:w="6269" w:type="dxa"/>
        </w:tcPr>
        <w:p w:rsidR="00ED7638" w:rsidRDefault="00ED7638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ED7638" w:rsidRDefault="00ED7638">
          <w:pPr>
            <w:pStyle w:val="EmptyCellLayoutStyle"/>
            <w:spacing w:after="0" w:line="240" w:lineRule="auto"/>
          </w:pPr>
        </w:p>
      </w:tc>
    </w:tr>
    <w:tr w:rsidR="00ED7638">
      <w:tc>
        <w:tcPr>
          <w:tcW w:w="6089" w:type="dxa"/>
          <w:vMerge/>
        </w:tcPr>
        <w:p w:rsidR="00ED7638" w:rsidRDefault="00ED7638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D7638" w:rsidRDefault="00ED7638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D7638" w:rsidRDefault="00ED7638">
          <w:pPr>
            <w:pStyle w:val="EmptyCellLayoutStyle"/>
            <w:spacing w:after="0" w:line="240" w:lineRule="auto"/>
          </w:pPr>
        </w:p>
      </w:tc>
    </w:tr>
    <w:tr w:rsidR="00ED7638">
      <w:tc>
        <w:tcPr>
          <w:tcW w:w="6089" w:type="dxa"/>
        </w:tcPr>
        <w:p w:rsidR="00ED7638" w:rsidRDefault="00ED7638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D7638" w:rsidRDefault="00ED7638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D7638" w:rsidRDefault="00ED76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61C" w:rsidRDefault="00E0761C">
      <w:pPr>
        <w:spacing w:after="0" w:line="240" w:lineRule="auto"/>
      </w:pPr>
      <w:r>
        <w:separator/>
      </w:r>
    </w:p>
  </w:footnote>
  <w:footnote w:type="continuationSeparator" w:id="0">
    <w:p w:rsidR="00E0761C" w:rsidRDefault="00E07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38"/>
    <w:rsid w:val="0057784D"/>
    <w:rsid w:val="005D1875"/>
    <w:rsid w:val="0081106B"/>
    <w:rsid w:val="008A6455"/>
    <w:rsid w:val="00DC4C18"/>
    <w:rsid w:val="00E0761C"/>
    <w:rsid w:val="00EB7EAF"/>
    <w:rsid w:val="00E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BE64"/>
  <w15:docId w15:val="{3231326F-B11C-4A95-BD2E-6E331F0C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D1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875"/>
  </w:style>
  <w:style w:type="paragraph" w:styleId="Footer">
    <w:name w:val="footer"/>
    <w:basedOn w:val="Normal"/>
    <w:link w:val="FooterChar"/>
    <w:uiPriority w:val="99"/>
    <w:unhideWhenUsed/>
    <w:rsid w:val="005D1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 Nevistić</dc:creator>
  <dc:description/>
  <cp:lastModifiedBy>Iva Nevistić</cp:lastModifiedBy>
  <cp:revision>7</cp:revision>
  <dcterms:created xsi:type="dcterms:W3CDTF">2021-05-19T07:17:00Z</dcterms:created>
  <dcterms:modified xsi:type="dcterms:W3CDTF">2021-05-19T08:16:00Z</dcterms:modified>
</cp:coreProperties>
</file>